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PNAB 003/FCCR/2026 - SUBSÍDIO À MANUTENÇÃO DE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0" w:right="1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8.00000000000006" w:lineRule="auto"/>
        <w:ind w:left="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XIV</w:t>
      </w:r>
    </w:p>
    <w:p w:rsidR="00000000" w:rsidDel="00000000" w:rsidP="00000000" w:rsidRDefault="00000000" w:rsidRPr="00000000" w14:paraId="00000005">
      <w:pPr>
        <w:spacing w:line="278.00000000000006" w:lineRule="auto"/>
        <w:ind w:left="0" w:right="12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PLANILHA ORÇAMENTÁRIA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8.000000000000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 OBJETO</w:t>
        <w:br w:type="textWrapping"/>
      </w:r>
      <w:r w:rsidDel="00000000" w:rsidR="00000000" w:rsidRPr="00000000">
        <w:rPr>
          <w:rtl w:val="0"/>
        </w:rPr>
        <w:t xml:space="preserve">O presente anexo estabelece orientações para o correto preenchimento da planilha orçamentária dos projetos culturais, visando assegurar a coerência, a transparência e a compatibilidade dos custos apresentados com os valores praticados no mercado.</w:t>
      </w:r>
    </w:p>
    <w:p w:rsidR="00000000" w:rsidDel="00000000" w:rsidP="00000000" w:rsidRDefault="00000000" w:rsidRPr="00000000" w14:paraId="00000007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DIRETRIZES GERAIS</w:t>
      </w:r>
    </w:p>
    <w:p w:rsidR="00000000" w:rsidDel="00000000" w:rsidP="00000000" w:rsidRDefault="00000000" w:rsidRPr="00000000" w14:paraId="00000008">
      <w:pPr>
        <w:spacing w:after="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2.1. A planilha orçamentária deverá contemplar todas as despesas necessárias à execução do projeto, devendo os custos apresentados:</w:t>
      </w:r>
    </w:p>
    <w:p w:rsidR="00000000" w:rsidDel="00000000" w:rsidP="00000000" w:rsidRDefault="00000000" w:rsidRPr="00000000" w14:paraId="00000009">
      <w:pPr>
        <w:spacing w:after="0" w:line="278.00000000000006" w:lineRule="auto"/>
        <w:ind w:left="566.9291338582675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I – possuir relação direta com o objeto da proposta;</w:t>
        <w:br w:type="textWrapping"/>
        <w:t xml:space="preserve">II – estar compatíveis com os valores de mercado;</w:t>
        <w:br w:type="textWrapping"/>
        <w:t xml:space="preserve">III – estar devidamente justificados;</w:t>
        <w:br w:type="textWrapping"/>
        <w:t xml:space="preserve">IV – apresentar referência de preço verificável.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2.2. Não serão aceitas despesas genéricas ou sem detalhamento adequado, tais como “custos diversos”, “despesas gerais” ou similares.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2.3. Os valores deverão ser apresentados em moeda corrente nacional (Real – R$).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CATEGORIAS DE DESPESA (EXEMPLOS)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A seguir, apresentam-se categorias e</w:t>
      </w:r>
      <w:r w:rsidDel="00000000" w:rsidR="00000000" w:rsidRPr="00000000">
        <w:rPr>
          <w:b w:val="1"/>
          <w:bCs w:val="1"/>
          <w:u w:val="single"/>
          <w:rtl w:val="0"/>
        </w:rPr>
        <w:t xml:space="preserve"> exemplos</w:t>
      </w:r>
      <w:r w:rsidDel="00000000" w:rsidR="00000000" w:rsidRPr="00000000">
        <w:rPr>
          <w:rtl w:val="0"/>
        </w:rPr>
        <w:t xml:space="preserve"> de despesas que podem constar na planilha orçamentária:</w:t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 Recursos humanos (serviços e cachês)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Cachê de artista (músicos, atores, performers, etc.)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Oficineiros, educadores ou mediadores culturais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Produção executiva e coordenação de projeto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Técnicos (som, iluminação, montagem)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Designer gráfico e equipe de comunicação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Fotógrafo, videomaker e equipe de registro</w:t>
      </w:r>
    </w:p>
    <w:p w:rsidR="00000000" w:rsidDel="00000000" w:rsidP="00000000" w:rsidRDefault="00000000" w:rsidRPr="00000000" w14:paraId="00000015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3.2. Estrutura e equipamentos (preferencialmente locação)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Locação de equipamentos de som e iluminação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Locação de projetor e tela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Locação de palco, tablado, cadeiras e mesas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Locação de gerador</w:t>
      </w:r>
    </w:p>
    <w:p w:rsidR="00000000" w:rsidDel="00000000" w:rsidP="00000000" w:rsidRDefault="00000000" w:rsidRPr="00000000" w14:paraId="0000001A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3.3. Materiais de consumo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Materiais para oficinas (papel, tinta, tecido, etc.)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Materiais cenográficos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Materiais pedagógicos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Equipamentos de proteção individual (EPIs), quando necessário</w:t>
      </w:r>
    </w:p>
    <w:p w:rsidR="00000000" w:rsidDel="00000000" w:rsidP="00000000" w:rsidRDefault="00000000" w:rsidRPr="00000000" w14:paraId="0000001F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3.4. Comunicação e divulgação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Criação de identidade visual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Impressão de materiais gráficos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Gestão e impulsionamento em redes sociais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Produção de conteúdo digital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Registro audiovisual</w:t>
      </w:r>
    </w:p>
    <w:p w:rsidR="00000000" w:rsidDel="00000000" w:rsidP="00000000" w:rsidRDefault="00000000" w:rsidRPr="00000000" w14:paraId="00000025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3.5. Logística e operação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Transporte de equipe e equipamentos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Alimentação da equipe, quando justificada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Hospedagem, quando houver deslocamento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Serviços de frete</w:t>
      </w:r>
    </w:p>
    <w:p w:rsidR="00000000" w:rsidDel="00000000" w:rsidP="00000000" w:rsidRDefault="00000000" w:rsidRPr="00000000" w14:paraId="0000002A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3.6. Custos administrativos do espaço cultural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Serviços contábeis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Serviços jurídicos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Apoio administrativo</w:t>
      </w:r>
    </w:p>
    <w:p w:rsidR="00000000" w:rsidDel="00000000" w:rsidP="00000000" w:rsidRDefault="00000000" w:rsidRPr="00000000" w14:paraId="0000002E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3.7. Acessibilidade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Intérprete de Libras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Audiodescrição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Legendagem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0" w:beforeAutospacing="0"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Produção de materiais acessíveis</w:t>
      </w:r>
    </w:p>
    <w:p w:rsidR="00000000" w:rsidDel="00000000" w:rsidP="00000000" w:rsidRDefault="00000000" w:rsidRPr="00000000" w14:paraId="00000033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DESPESAS NÃO RECOMENDADAS OU RESTRITAS</w:t>
      </w:r>
    </w:p>
    <w:p w:rsidR="00000000" w:rsidDel="00000000" w:rsidP="00000000" w:rsidRDefault="00000000" w:rsidRPr="00000000" w14:paraId="00000034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4.1. A aquisição de bens permanentes deverá ser evitada, salvo quando devidamente justificada e indispensável à execução do projeto.</w:t>
      </w:r>
    </w:p>
    <w:p w:rsidR="00000000" w:rsidDel="00000000" w:rsidP="00000000" w:rsidRDefault="00000000" w:rsidRPr="00000000" w14:paraId="00000035">
      <w:pPr>
        <w:spacing w:after="0" w:before="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4.2. Não serão aceitas despesas que:</w:t>
        <w:br w:type="textWrapping"/>
        <w:t xml:space="preserve">I – não apresentem nexo com o objeto do projeto;</w:t>
        <w:br w:type="textWrapping"/>
        <w:t xml:space="preserve">II – não possuam justificativa adequada;</w:t>
        <w:br w:type="textWrapping"/>
        <w:t xml:space="preserve">III – apresentem valores incompatíveis com o mercado.</w:t>
      </w:r>
    </w:p>
    <w:p w:rsidR="00000000" w:rsidDel="00000000" w:rsidP="00000000" w:rsidRDefault="00000000" w:rsidRPr="00000000" w14:paraId="00000036">
      <w:pPr>
        <w:spacing w:after="240" w:before="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IV - custos relacionados a contrapartida</w:t>
      </w:r>
    </w:p>
    <w:p w:rsidR="00000000" w:rsidDel="00000000" w:rsidP="00000000" w:rsidRDefault="00000000" w:rsidRPr="00000000" w14:paraId="00000037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REFERÊNCIA DE PREÇO</w:t>
      </w:r>
    </w:p>
    <w:p w:rsidR="00000000" w:rsidDel="00000000" w:rsidP="00000000" w:rsidRDefault="00000000" w:rsidRPr="00000000" w14:paraId="00000038">
      <w:pPr>
        <w:spacing w:after="240" w:before="24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5.1. Os valores apresentados deverão indicar a fonte de referência, tais como:</w:t>
        <w:br w:type="textWrapping"/>
        <w:t xml:space="preserve">I – orçamentos de fornecedores;</w:t>
        <w:br w:type="textWrapping"/>
        <w:t xml:space="preserve">II – tabelas públicas (ex.: SalicNet);</w:t>
        <w:br w:type="textWrapping"/>
        <w:t xml:space="preserve">III – média de mercado;</w:t>
        <w:br w:type="textWrapping"/>
        <w:t xml:space="preserve">IV – contratos ou práticas profissionais comprováveis.</w:t>
      </w:r>
    </w:p>
    <w:p w:rsidR="00000000" w:rsidDel="00000000" w:rsidP="00000000" w:rsidRDefault="00000000" w:rsidRPr="00000000" w14:paraId="00000039">
      <w:pPr>
        <w:spacing w:after="240" w:before="240" w:line="278.0000000000000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MODELO DA  PLANILHA</w:t>
      </w:r>
    </w:p>
    <w:p w:rsidR="00000000" w:rsidDel="00000000" w:rsidP="00000000" w:rsidRDefault="00000000" w:rsidRPr="00000000" w14:paraId="0000003A">
      <w:pPr>
        <w:spacing w:after="0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Utilize o modelo de quadro a seguir:</w:t>
      </w:r>
    </w:p>
    <w:p w:rsidR="00000000" w:rsidDel="00000000" w:rsidP="00000000" w:rsidRDefault="00000000" w:rsidRPr="00000000" w14:paraId="0000003B">
      <w:pPr>
        <w:spacing w:after="0" w:line="278.0000000000000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14974987"/>
        <w:tag w:val="goog_rdk_0"/>
      </w:sdtPr>
      <w:sdtContent>
        <w:tbl>
          <w:tblPr>
            <w:tblStyle w:val="Table1"/>
            <w:tblW w:w="10560.0" w:type="dxa"/>
            <w:jc w:val="left"/>
            <w:tblInd w:w="-66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725"/>
            <w:gridCol w:w="1350"/>
            <w:gridCol w:w="1635"/>
            <w:gridCol w:w="1605"/>
            <w:gridCol w:w="1575"/>
            <w:gridCol w:w="1185"/>
            <w:gridCol w:w="1485"/>
            <w:tblGridChange w:id="0">
              <w:tblGrid>
                <w:gridCol w:w="1725"/>
                <w:gridCol w:w="1350"/>
                <w:gridCol w:w="1635"/>
                <w:gridCol w:w="1605"/>
                <w:gridCol w:w="1575"/>
                <w:gridCol w:w="1185"/>
                <w:gridCol w:w="1485"/>
              </w:tblGrid>
            </w:tblGridChange>
          </w:tblGrid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C">
                <w:pPr>
                  <w:spacing w:after="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Descrição do item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D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Justificativa 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Unidade de medida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F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0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Quantidade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1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total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2">
                <w:pPr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Referência de preço</w:t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Ex.: Fotógrafo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Profissional necessário para registro da oficina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Serviço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Ex. R$1.100,00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Ex. R$1.100,00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Salicnet</w:t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Ex: Projetor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Exibição de Filmes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Diária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Ex. R$ 1.500,00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Ex. R$1.500,00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 orçamentos</w:t>
                </w:r>
              </w:p>
            </w:tc>
          </w:tr>
          <w:tr>
            <w:trPr>
              <w:cantSplit w:val="0"/>
              <w:trHeight w:val="30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rtl w:val="0"/>
        </w:rPr>
        <w:t xml:space="preserve">ATENÇÃO!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Todo projeto deverá prever as necessidades técnicas e estruturas com seus custos para execução na Planilha Orçamentária.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bCs w:val="1"/>
          <w:rtl w:val="0"/>
        </w:rPr>
        <w:t xml:space="preserve">ATENÇÃO!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Pode haver a indicação do parâmetro de preço (Ex.: preço estabelecido no SALICNET, 3 orçamentos etc) utilizado com a referência específica do item de despesa para auxiliar a análise técnica da comissão de seleção.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Planilha disponível em formato Excel: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Planilha Orçamentária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275.5905511811025" w:top="1417.3228346456694" w:left="1417.3228346456694" w:right="1247.24409448818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-528336</wp:posOffset>
          </wp:positionH>
          <wp:positionV relativeFrom="paragraph">
            <wp:posOffset>-66674</wp:posOffset>
          </wp:positionV>
          <wp:extent cx="6927850" cy="56455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7850" cy="56455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line="278.00000000000006" w:lineRule="auto"/>
      <w:ind w:left="480" w:firstLine="0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-899792</wp:posOffset>
          </wp:positionH>
          <wp:positionV relativeFrom="paragraph">
            <wp:posOffset>-278377</wp:posOffset>
          </wp:positionV>
          <wp:extent cx="2895600" cy="598170"/>
          <wp:effectExtent b="0" l="0" r="0" t="0"/>
          <wp:wrapNone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spacing w:line="278.00000000000006" w:lineRule="auto"/>
      <w:ind w:left="480" w:firstLine="0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e/2PACX-1vQmG44sEK8SBKqWN_t1aPKY_3FhG43Gf0_LCYdMS-71Xy6GRVPao9p9QZSFsFgpljoW0MapFPsJohtg/pub?output=xlsx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5JSsXDk+BbW8EgFPMhBBLEbukQ==">CgMxLjAaHwoBMBIaChgICVIUChJ0YWJsZS43cnNuMmdzdHR0cDY4AHIhMXhrSzJjSWRTVU1LSVY1ZVdoWk9kSW1reFNjd1hPUXpa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